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pPr>
      <w:bookmarkStart w:id="0" w:name="_GoBack"/>
      <w:r>
        <w:rPr>
          <w:rFonts w:ascii="方正小标宋简体" w:hAnsi="方正小标宋简体" w:eastAsia="方正小标宋简体" w:cs="方正小标宋简体"/>
          <w:color w:val="333333"/>
          <w:sz w:val="36"/>
          <w:szCs w:val="36"/>
          <w:shd w:val="clear" w:fill="FFFFFF"/>
        </w:rPr>
        <w:t>财政部 税务总局 海关总署</w:t>
      </w:r>
      <w:r>
        <w:rPr>
          <w:rFonts w:hint="default" w:ascii="方正小标宋简体" w:hAnsi="方正小标宋简体" w:eastAsia="方正小标宋简体" w:cs="方正小标宋简体"/>
          <w:color w:val="333333"/>
          <w:sz w:val="36"/>
          <w:szCs w:val="36"/>
          <w:shd w:val="clear" w:fill="FFFFFF"/>
        </w:rPr>
        <w:t>关于深化增值税改革有关政策的公告</w:t>
      </w:r>
    </w:p>
    <w:bookmarkEnd w:id="0"/>
    <w:p>
      <w:pPr>
        <w:pStyle w:val="2"/>
        <w:keepNext w:val="0"/>
        <w:keepLines w:val="0"/>
        <w:widowControl/>
        <w:suppressLineNumbers w:val="0"/>
        <w:spacing w:before="0" w:beforeAutospacing="0" w:after="0" w:afterAutospacing="0" w:line="560" w:lineRule="atLeast"/>
        <w:ind w:left="0" w:right="0"/>
        <w:jc w:val="center"/>
      </w:pPr>
      <w:r>
        <w:rPr>
          <w:rFonts w:ascii="仿宋_GB2312" w:hAnsi="方正小标宋简体" w:eastAsia="仿宋_GB2312" w:cs="仿宋_GB2312"/>
          <w:color w:val="333333"/>
          <w:sz w:val="30"/>
          <w:szCs w:val="30"/>
          <w:shd w:val="clear" w:fill="FFFFFF"/>
        </w:rPr>
        <w:t>财政部 税务总局 海关总署公告2019年第39号</w:t>
      </w:r>
    </w:p>
    <w:p>
      <w:pPr>
        <w:pStyle w:val="2"/>
        <w:keepNext w:val="0"/>
        <w:keepLines w:val="0"/>
        <w:widowControl/>
        <w:suppressLineNumbers w:val="0"/>
        <w:spacing w:before="0" w:beforeAutospacing="0" w:after="0" w:afterAutospacing="0" w:line="560" w:lineRule="atLeast"/>
        <w:ind w:left="0" w:right="0"/>
        <w:jc w:val="center"/>
      </w:pPr>
      <w:r>
        <w:rPr>
          <w:rFonts w:hint="default" w:ascii="仿宋_GB2312" w:hAnsi="方正小标宋简体" w:eastAsia="仿宋_GB2312" w:cs="仿宋_GB2312"/>
          <w:color w:val="333333"/>
          <w:sz w:val="30"/>
          <w:szCs w:val="30"/>
          <w:shd w:val="clear" w:fill="FFFFFF"/>
        </w:rPr>
        <w:t> </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为贯彻落实党中央、国务院决策部署，推进增值税实质性减税，现将2019年增值税改革有关事项公告如下：</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一、增值税一般纳税人（以下称纳税人）发生增值税应税销售行为或者进口货物，原适用16%税率的，税率调整为13%；原适用10%税率的，税率调整为9%。</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二、纳税人购进农产品，原适用10%扣除率的，扣除率调整为9%。纳税人购进用于生产或者委托加工13%税率货物的农产品，按照10%的扣除率计算进项税额。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三、原适用16%税率且出口退税率为16%的出口货物劳务，出口退税率调整为13%;原适用10%税率且出口退税率为10%的出口货物、跨境应税行为，出口退税率调整为9%。</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四、适用13%税率的境外旅客购物离境退税物品，退税率为11%；适用9%税率的境外旅客购物离境退税物品，退税率为8%。</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2019年6月30日前，按调整前税率征收增值税的，执行调整前的退税率；按调整后税率征收增值税的，执行调整后的退税率。</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退税率的执行时间，以退税物品增值税普通发票的开具日期为准。</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五、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六、纳税人购进国内旅客运输服务，其进项税额允许从销项税额中抵扣。</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（一）纳税人未取得增值税专用发票的，暂按照以下规定确定进项税额：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1.取得增值税电子普通发票的，为发票上注明的税额；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2.取得注明旅客身份信息的航空运输电子客票行程单的，为按照下列公式计算进项税额：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航空旅客运输进项税额=（票价+燃油附加费）÷（1+9%）×9%</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3.取得注明旅客身份信息的铁路车票的，为按照下列公式计算的进项税额：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铁路旅客运输进项税额=票面金额÷（1+9%）×9%</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4.取得注明旅客身份信息的公路、水路等其他客票的，按照下列公式计算进项税额：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公路、水路等其他旅客运输进项税额=票面金额÷（1+3%）×3%</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二）《营业税改征增值税试点实施办法》（财税〔2016〕36号印发）第二十七条第（六）项和《营业税改征增值税试点有关事项的规定》（财税〔2016〕36号印发）第二条第（一）项第5点中“购进的旅客运输服务、贷款服务、餐饮服务、居民日常服务和娱乐服务”修改为“购进的贷款服务、餐饮服务、居民日常服务和娱乐服务”。</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七、自2019年4月1日至2021年12月31日，允许生产、生活性服务业纳税人按照当期可抵扣进项税额加计10%，抵减应纳税额（以下称加计抵减政策）。</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一）本公告所称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2019年3月31日前设立的纳税人，自2018年4月至2019年3月期间的销售额(经营期不满12个月的，按照实际经营期的销售额)符合上述规定条件的，自2019年4月1日起适用加计抵减政策。</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2019年4月1日后设立的纳税人，自设立之日起3个月的销售额符合上述规定条件的，自登记为一般纳税人之日起适用加计抵减政策。</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纳税人确定适用加计抵减政策后，当年内不再调整，以后年度是否适用，根据上年度销售额计算确定。</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纳税人可计提但未计提的加计抵减额，可在确定适用加计抵减政策当期一并计提。</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二）纳税人应按照当期可抵扣进项税额的10%计提当期加计抵减额。按照现行规定不得从销项税额中抵扣的进项税额，不得计提加计抵减额；已计提加计抵减额的进项税额，按规定作进项税额转出的，应在进项税额转出当期，相应调减加计抵减额。计算公式如下：</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当期计提加计抵减额=当期可抵扣进项税额×10%</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当期可抵减加计抵减额=上期末加计抵减额余额+当期计提加计抵减额-当期调减加计抵减额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（三）纳税人应按照现行规定计算一般计税方法下的应纳税额（以下称抵减前的应纳税额）后，区分以下情形加计抵减：</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1.抵减前的应纳税额等于零的，当期可抵减加计抵减额全部结转下期抵减；</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2.抵减前的应纳税额大于零，且大于当期可抵减加计抵减额的，当期可抵减加计抵减额全额从抵减前的应纳税额中抵减；</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3.抵减前的应纳税额大于零，且小于或等于当期可抵减加计抵减额的，以当期可抵减加计抵减额抵减应纳税额至零。未抵减完的当期可抵减加计抵减额，结转下期继续抵减。</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（四）纳税人出口货物劳务、发生跨境应税行为不适用加计抵减政策，其对应的进项税额不得计提加计抵减额。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纳税人兼营出口货物劳务、发生跨境应税行为且无法划分不得计提加计抵减额的进项税额,按照以下公式计算：</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不得计提加计抵减额的进项税额＝当期无法划分的全部进项税额×当期出口货物劳务和发生跨境应税行为的销售额÷当期全部销售额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（五）纳税人应单独核算加计抵减额的计提、抵减、调减、结余等变动情况。骗取适用加计抵减政策或虚增加计抵减额的，按照《中华人民共和国税收征收管理法》等有关规定处理。</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（六）加计抵减政策执行到期后，纳税人不再计提加计抵减额，结余的加计抵减额停止抵减。</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八、自2019年4月1日起，试行增值税期末留抵税额退税制度。</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（一）同时符合以下条件的纳税人，可以向主管税务机关申请退还增量留抵税额：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1.自2019年4月税款所属期起，连续六个月（按季纳税的，连续两个季度）增量留抵税额均大于零，且第六个月增量留抵税额不低于50万元；</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2.纳税信用等级为A级或者B级；</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3.申请退税前36个月未发生骗取留抵退税、出口退税或虚开增值税专用发票情形的；</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4.申请退税前36个月未因偷税被税务机关处罚两次及以上的；</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5.自2019年4月1日起未享受即征即退、先征后返（退）政策的。</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（二）本公告所称增量留抵税额，是指与2019年3月底相比新增加的期末留抵税额。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（三）纳税人当期允许退还的增量留抵税额，按照以下公式计算：</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允许退还的增量留抵税额=增量留抵税额×进项构成比例×60%</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（四）纳税人应在增值税纳税申报期内，向主管税务机关申请退还留抵税额。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（五）纳税人出口货物劳务、发生跨境应税行为，适用免抵退税办法的，办理免抵退税后，仍符合本公告规定条件的，可以申请退还留抵税额；适用免退税办法的，相关进项税额不得用于退还留抵税额。</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（六）纳税人取得退还的留抵税额后，应相应调减当期留抵税额。按照本条规定再次满足退税条件的，可以继续向主管税务机关申请退还留抵税额，但本条第（一）项第1点规定的连续期间，不得重复计算。</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（七）以虚增进项、虚假申报或其他欺骗手段，骗取留抵退税款的，由税务机关追缴其骗取的退税款，并按照《中华人民共和国税收征收管理法》等有关规定处理。</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（八）退还的增量留抵税额中央、地方分担机制另行通知。</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九、本公告自2019年4月1日起执行。</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特此公告。</w:t>
      </w:r>
    </w:p>
    <w:p>
      <w:pPr>
        <w:pStyle w:val="2"/>
        <w:keepNext w:val="0"/>
        <w:keepLines w:val="0"/>
        <w:widowControl/>
        <w:suppressLineNumbers w:val="0"/>
        <w:spacing w:before="0" w:beforeAutospacing="0" w:after="0" w:afterAutospacing="0" w:line="560" w:lineRule="atLeast"/>
        <w:ind w:left="0" w:right="0"/>
      </w:pPr>
      <w:r>
        <w:rPr>
          <w:rFonts w:hint="default" w:ascii="仿宋_GB2312" w:hAnsi="方正小标宋简体" w:eastAsia="仿宋_GB2312" w:cs="仿宋_GB2312"/>
          <w:color w:val="333333"/>
          <w:sz w:val="30"/>
          <w:szCs w:val="30"/>
          <w:shd w:val="clear" w:fill="FFFFFF"/>
        </w:rPr>
        <w:t>　　</w:t>
      </w:r>
    </w:p>
    <w:p>
      <w:pPr>
        <w:pStyle w:val="2"/>
        <w:keepNext w:val="0"/>
        <w:keepLines w:val="0"/>
        <w:widowControl/>
        <w:suppressLineNumbers w:val="0"/>
        <w:spacing w:before="0" w:beforeAutospacing="0" w:after="0" w:afterAutospacing="0" w:line="560" w:lineRule="atLeast"/>
        <w:ind w:left="0" w:right="0"/>
        <w:jc w:val="right"/>
      </w:pPr>
      <w:r>
        <w:rPr>
          <w:rFonts w:hint="default" w:ascii="仿宋_GB2312" w:hAnsi="方正小标宋简体" w:eastAsia="仿宋_GB2312" w:cs="仿宋_GB2312"/>
          <w:color w:val="333333"/>
          <w:sz w:val="30"/>
          <w:szCs w:val="30"/>
          <w:shd w:val="clear" w:fill="FFFFFF"/>
        </w:rPr>
        <w:t>　　财政部 税务总局 海关总署</w:t>
      </w:r>
    </w:p>
    <w:p>
      <w:pPr>
        <w:pStyle w:val="2"/>
        <w:keepNext w:val="0"/>
        <w:keepLines w:val="0"/>
        <w:widowControl/>
        <w:suppressLineNumbers w:val="0"/>
        <w:spacing w:before="0" w:beforeAutospacing="0" w:after="0" w:afterAutospacing="0" w:line="560" w:lineRule="atLeast"/>
        <w:ind w:left="0" w:right="0"/>
        <w:jc w:val="right"/>
      </w:pPr>
      <w:r>
        <w:rPr>
          <w:rFonts w:hint="default" w:ascii="仿宋_GB2312" w:hAnsi="方正小标宋简体" w:eastAsia="仿宋_GB2312" w:cs="仿宋_GB2312"/>
          <w:color w:val="333333"/>
          <w:sz w:val="30"/>
          <w:szCs w:val="30"/>
          <w:shd w:val="clear" w:fill="FFFFFF"/>
        </w:rPr>
        <w:t>　　2019年3月20日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55406"/>
    <w:rsid w:val="44655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2019-04-03T00:31:00Z</dcterms:created>
  <dc:creator>黄泽1427168176</dc:creator>
  <cp:lastModifiedBy>黄泽1427168176</cp:lastModifiedBy>
  <dcterms:modified xsi:type="dcterms:W3CDTF">2019-04-03T03:12:48Z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